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DE" w:rsidRPr="008F5B5E" w:rsidRDefault="00286CDE" w:rsidP="00286CDE">
      <w:pPr>
        <w:autoSpaceDE w:val="0"/>
        <w:autoSpaceDN w:val="0"/>
        <w:adjustRightInd w:val="0"/>
        <w:jc w:val="both"/>
        <w:rPr>
          <w:b/>
          <w:bCs/>
        </w:rPr>
      </w:pPr>
      <w:bookmarkStart w:id="0" w:name="_GoBack"/>
      <w:bookmarkEnd w:id="0"/>
      <w:r w:rsidRPr="008F5B5E">
        <w:rPr>
          <w:b/>
          <w:bCs/>
        </w:rPr>
        <w:t xml:space="preserve">IV. TEKST PRIJEDLOGA ZAKONA O IZMJENAMA I DOPUNAMA ZAKONA O KAZNENOM POSTUPKU </w:t>
      </w:r>
    </w:p>
    <w:p w:rsidR="00286CDE" w:rsidRPr="008F5B5E" w:rsidRDefault="00286CDE" w:rsidP="00286CDE">
      <w:pPr>
        <w:autoSpaceDE w:val="0"/>
        <w:autoSpaceDN w:val="0"/>
        <w:adjustRightInd w:val="0"/>
        <w:jc w:val="both"/>
        <w:rPr>
          <w:b/>
          <w:bCs/>
        </w:rPr>
      </w:pPr>
    </w:p>
    <w:p w:rsidR="00286CDE" w:rsidRPr="008F5B5E" w:rsidRDefault="00286CDE" w:rsidP="00286CDE">
      <w:pPr>
        <w:autoSpaceDE w:val="0"/>
        <w:autoSpaceDN w:val="0"/>
        <w:adjustRightInd w:val="0"/>
        <w:jc w:val="center"/>
        <w:rPr>
          <w:b/>
          <w:bCs/>
        </w:rPr>
      </w:pPr>
      <w:r w:rsidRPr="008F5B5E">
        <w:rPr>
          <w:b/>
          <w:bCs/>
        </w:rPr>
        <w:t>Članak 1.</w:t>
      </w:r>
    </w:p>
    <w:p w:rsidR="00286CDE" w:rsidRPr="008F5B5E" w:rsidRDefault="00286CDE" w:rsidP="00286CDE">
      <w:pPr>
        <w:autoSpaceDE w:val="0"/>
        <w:autoSpaceDN w:val="0"/>
        <w:adjustRightInd w:val="0"/>
        <w:jc w:val="center"/>
        <w:rPr>
          <w:bCs/>
        </w:rPr>
      </w:pPr>
    </w:p>
    <w:p w:rsidR="00286CDE" w:rsidRPr="008F5B5E" w:rsidRDefault="00286CDE" w:rsidP="00286CDE">
      <w:pPr>
        <w:autoSpaceDE w:val="0"/>
        <w:autoSpaceDN w:val="0"/>
        <w:adjustRightInd w:val="0"/>
        <w:jc w:val="both"/>
      </w:pPr>
      <w:r w:rsidRPr="008F5B5E">
        <w:t>U Zakonu o kaznenom postupku („Narodne novine“, broj 152/08., 76/09., 80/11., 121/11., 91/12., 143/12., 56/13. i 145/13.) u članku 34. stavku 3. riječi: „u žalbi ili u odgovoru na žalbu, ali“ brišu se.</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2.</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66. stavku 1. točki 2) riječi: „za koje je propisana kazna zatvora teža od dvanaest godina“ zamjenjuju se riječima: „iz nadležnosti županijskog suda“.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3.</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123. stavak 2. mijenja se i glasi:</w:t>
      </w:r>
    </w:p>
    <w:p w:rsidR="00286CDE" w:rsidRPr="008F5B5E" w:rsidRDefault="00286CDE" w:rsidP="00286CDE">
      <w:pPr>
        <w:autoSpaceDE w:val="0"/>
        <w:autoSpaceDN w:val="0"/>
        <w:adjustRightInd w:val="0"/>
        <w:jc w:val="both"/>
      </w:pPr>
    </w:p>
    <w:p w:rsidR="00286CDE" w:rsidRPr="008F5B5E" w:rsidRDefault="00286CDE" w:rsidP="00286CDE">
      <w:pPr>
        <w:jc w:val="both"/>
      </w:pPr>
      <w:r w:rsidRPr="008F5B5E">
        <w:t xml:space="preserve">„(2) </w:t>
      </w:r>
      <w:r w:rsidRPr="008F5B5E">
        <w:rPr>
          <w:color w:val="000000"/>
        </w:rPr>
        <w:t>Pri izricanju presude, kao i pri priznavanju i preuzimanju izvršenja strane presude, uvijek će se odrediti ili produljiti istražni zatvor protiv okrivljenika kojem je izrečena ili preuzeta radi izvršenja kazna zatvora od pet godina ili teža kazna.“.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4.</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133. dodaje se novi stavak 2. koji glasi: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„(2) U predmetima za kaznena djela iz članka 21. Zakona o Uredu za suzbijanje korupcije i organiziranog kriminaliteta u kojima je istraga produljena, sveukupno trajanje istražnog zatvora iz stavka 1. ovog članka produljuje se za vrijeme za koje je bila produljena istraga.“.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Dosadašnji stavci 2., 3., 4. i 5. postaju stavci 3., 4., 5. i 6.</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dosadašnjem stavku 2. koji je postao stavak 3. druga rečenica briše se.</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dosadašnjem stavku 3. koji je postao stavak 4. riječi: „stavka 2.“ zamjenjuju se riječima: „stavka 3.“, a riječi: „stavka 1. i 2.“ zamjenjuju se riječima: „stavka 1. i 3.“.</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dosadašnjem stavku 4. koji je postao stavak 5. broj: „2.“ zamjenjuje se brojem: „3.“.</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5.</w:t>
      </w:r>
    </w:p>
    <w:p w:rsidR="00286CDE" w:rsidRPr="008F5B5E" w:rsidRDefault="00286CDE" w:rsidP="00286CDE">
      <w:pPr>
        <w:autoSpaceDE w:val="0"/>
        <w:autoSpaceDN w:val="0"/>
        <w:adjustRightInd w:val="0"/>
        <w:jc w:val="center"/>
      </w:pPr>
    </w:p>
    <w:p w:rsidR="00286CDE" w:rsidRPr="008F5B5E" w:rsidRDefault="00286CDE" w:rsidP="00286CDE">
      <w:pPr>
        <w:autoSpaceDE w:val="0"/>
        <w:autoSpaceDN w:val="0"/>
        <w:adjustRightInd w:val="0"/>
        <w:jc w:val="both"/>
      </w:pPr>
      <w:r w:rsidRPr="008F5B5E">
        <w:t xml:space="preserve">U članku 179. dodaje se novi stavak 2. koji glasi: </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 xml:space="preserve">„(2) Ako je dužnosnik kojeg imenuje ili potvrđuje Hrvatski sabor, Vlada Republike Hrvatske ili Predsjednik Republike Hrvatske pravomoćno osuđen, prvostupanjski sud će prijepis pravomoćne osuđujuće presude dostaviti tijelu koje je dužnosnika imenovalo ili potvrdilo. Ako je dužnosnik u jedinici lokalne i područne (regionalne) samouprave pravomoćno osuđen, prvostupanjski sud će prijepis pravomoćne osuđujuće presude dostaviti nadležnom tijelu jedinice lokalne i područne (regionalne) samouprave. Ako je javni bilježnik pravomoćno </w:t>
      </w:r>
      <w:r w:rsidRPr="008F5B5E">
        <w:lastRenderedPageBreak/>
        <w:t>osuđen, prvostupanjski sud će prijepis pravomoćne osuđujuće presude dostaviti ministarstvu nadležnom za pravosuđe i Hrvatskoj javnobilježničkoj komori.“.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Dosadašnji stavci 2., 3., 4. i 5. postaju stavci 3., 4., 5. i 6.</w:t>
      </w:r>
    </w:p>
    <w:p w:rsidR="00286CDE" w:rsidRPr="008F5B5E" w:rsidRDefault="00286CDE" w:rsidP="00286CDE">
      <w:pPr>
        <w:autoSpaceDE w:val="0"/>
        <w:autoSpaceDN w:val="0"/>
        <w:adjustRightInd w:val="0"/>
        <w:jc w:val="both"/>
      </w:pPr>
      <w:r w:rsidRPr="008F5B5E">
        <w:t xml:space="preserve"> </w:t>
      </w:r>
    </w:p>
    <w:p w:rsidR="00286CDE" w:rsidRPr="008F5B5E" w:rsidRDefault="00286CDE" w:rsidP="00286CDE">
      <w:pPr>
        <w:autoSpaceDE w:val="0"/>
        <w:autoSpaceDN w:val="0"/>
        <w:adjustRightInd w:val="0"/>
        <w:jc w:val="both"/>
      </w:pPr>
      <w:r w:rsidRPr="008F5B5E">
        <w:t>U dosadašnjem stavku 2. koji je postao stavak 3. iza riječi: „proračuna“ dodaju se riječi: „ili proračuna jedinice lokalne i područne (regionalne) samouprave“.</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6.</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197. stavak 1. mijenja se i glasi: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 xml:space="preserve">„(1) Kad progon za kazneno djelo ovisi o prijedlogu za progon </w:t>
      </w:r>
      <w:proofErr w:type="spellStart"/>
      <w:r w:rsidRPr="008F5B5E">
        <w:t>oštećenika</w:t>
      </w:r>
      <w:proofErr w:type="spellEnd"/>
      <w:r w:rsidRPr="008F5B5E">
        <w:t xml:space="preserve"> ili druge zainteresirane osobe sukladno odredbama Kaznenog zakona, državni odvjetnik ne može poduzeti kazneni progon dok </w:t>
      </w:r>
      <w:proofErr w:type="spellStart"/>
      <w:r w:rsidRPr="008F5B5E">
        <w:t>oštećenik</w:t>
      </w:r>
      <w:proofErr w:type="spellEnd"/>
      <w:r w:rsidRPr="008F5B5E">
        <w:t xml:space="preserve"> ili druga zainteresirana osoba ne stave prijedlog za progon.“.</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7.</w:t>
      </w:r>
    </w:p>
    <w:p w:rsidR="00286CDE" w:rsidRPr="008F5B5E" w:rsidRDefault="00286CDE" w:rsidP="00286CDE">
      <w:pPr>
        <w:autoSpaceDE w:val="0"/>
        <w:autoSpaceDN w:val="0"/>
        <w:adjustRightInd w:val="0"/>
        <w:jc w:val="center"/>
        <w:rPr>
          <w:b/>
        </w:rPr>
      </w:pPr>
    </w:p>
    <w:p w:rsidR="00286CDE" w:rsidRPr="008F5B5E" w:rsidRDefault="00286CDE" w:rsidP="00286CDE">
      <w:pPr>
        <w:autoSpaceDE w:val="0"/>
        <w:autoSpaceDN w:val="0"/>
        <w:adjustRightInd w:val="0"/>
        <w:jc w:val="both"/>
      </w:pPr>
      <w:r w:rsidRPr="008F5B5E">
        <w:t>U članku 212. stavku 4., u drugoj rečenici, riječi: „za koje postoji opasnost od odgode“ zamjenjuju se riječima: „iz stavka 1. ovog članka“.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Iza stavka 4. dodaje se novi stavak 5. koji glasi: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„(5) Ako postoji opasnost od odgode, državni odvjetnik može odrediti potrebna vještačenja, osim ekshumacije tijela koju može odrediti sud.“.</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Dosadašnji stavak 5. postaje stavak 6.</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8.</w:t>
      </w:r>
    </w:p>
    <w:p w:rsidR="00286CDE" w:rsidRPr="008F5B5E" w:rsidRDefault="00286CDE" w:rsidP="00286CDE">
      <w:pPr>
        <w:autoSpaceDE w:val="0"/>
        <w:autoSpaceDN w:val="0"/>
        <w:adjustRightInd w:val="0"/>
        <w:jc w:val="center"/>
        <w:rPr>
          <w:b/>
        </w:rPr>
      </w:pPr>
    </w:p>
    <w:p w:rsidR="00286CDE" w:rsidRPr="008F5B5E" w:rsidRDefault="00286CDE" w:rsidP="00286CDE">
      <w:pPr>
        <w:autoSpaceDE w:val="0"/>
        <w:autoSpaceDN w:val="0"/>
        <w:adjustRightInd w:val="0"/>
      </w:pPr>
      <w:r w:rsidRPr="008F5B5E">
        <w:t>U članku 334. točki 3) iza riječi: „(članak 177.),“ dodaju se riječi: „krivotvorenja lijekova ili medicinskih proizvoda (članak 185.),“.</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9.</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339.a stavku 1. riječi: „koja se kazneni postupak pokreće po službenoj dužnosti policija će“ zamjenjuju se riječima: „koje je propisana kazna zatvora teža od pet godina policija može“, a iza riječi: „dokaza,“ dodaju se riječi: „putem Operativno-tehničkog centra za nadzor telekomunikacija”.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stavku 2. riječi: „se kazneni postupak pokreće po službenoj dužnosti“ zamjenjuju se riječima: „je propisana kazna zatvora teža od pet godina“, a iza riječi: „istrage,“ dodaju se riječi: „putem Operativno-tehničkog centra za nadzor telekomunikacija”.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10.</w:t>
      </w:r>
    </w:p>
    <w:p w:rsidR="00286CDE" w:rsidRPr="008F5B5E" w:rsidRDefault="00286CDE" w:rsidP="00286CDE">
      <w:pPr>
        <w:autoSpaceDE w:val="0"/>
        <w:autoSpaceDN w:val="0"/>
        <w:adjustRightInd w:val="0"/>
        <w:jc w:val="center"/>
      </w:pPr>
    </w:p>
    <w:p w:rsidR="00286CDE" w:rsidRPr="008F5B5E" w:rsidRDefault="00286CDE" w:rsidP="00286CDE">
      <w:pPr>
        <w:autoSpaceDE w:val="0"/>
        <w:autoSpaceDN w:val="0"/>
        <w:adjustRightInd w:val="0"/>
        <w:jc w:val="both"/>
      </w:pPr>
      <w:r w:rsidRPr="008F5B5E">
        <w:t>U članku 475. dodaje se stavak 9. koji glasi:</w:t>
      </w:r>
    </w:p>
    <w:p w:rsidR="00286CDE" w:rsidRPr="008F5B5E" w:rsidRDefault="00286CDE" w:rsidP="00286CDE">
      <w:pPr>
        <w:tabs>
          <w:tab w:val="left" w:pos="2010"/>
        </w:tabs>
        <w:autoSpaceDE w:val="0"/>
        <w:autoSpaceDN w:val="0"/>
        <w:adjustRightInd w:val="0"/>
        <w:jc w:val="both"/>
      </w:pPr>
      <w:r w:rsidRPr="008F5B5E">
        <w:tab/>
      </w:r>
    </w:p>
    <w:p w:rsidR="00286CDE" w:rsidRPr="008F5B5E" w:rsidRDefault="00286CDE" w:rsidP="00286CDE">
      <w:pPr>
        <w:autoSpaceDE w:val="0"/>
        <w:autoSpaceDN w:val="0"/>
        <w:adjustRightInd w:val="0"/>
        <w:jc w:val="both"/>
      </w:pPr>
      <w:r w:rsidRPr="008F5B5E">
        <w:lastRenderedPageBreak/>
        <w:t>„(9) Prisutnost stranaka na sjednici vijeća može se osigurati i uz pomoć zatvorenog tehničkog uređaja za vezu na daljinu (audio-video uređaj) kojim rukuje stručna osoba. Činjenica da su stranke bile prisutne sjednici vijeća uz pomoć audio-video uređaja, vrsta uređaja te ime stručne osobe koja je njime rukovala unijeti će se u zapisnik o sjednici vijeća.“.</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11.</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članku 498. stavku 5. prva rečenica mijenja se i glasi: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„U slučaju iz stavka 1. točke 4. ovog članka zahtjev je dopušten i u odnosu na presudu donesenu na temelju sporazuma stranaka. Ako prvostupanjski sud prihvati zahtjev, presudom će preinačiti pravomoćnu presudu glede odluke o kazni.“.</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12.</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both"/>
      </w:pPr>
      <w:r w:rsidRPr="008F5B5E">
        <w:t>Odgađa se stupanje na snagu odredaba Zakona o kaznenom postupku o Visokom kaznenom sudu Republike Hrvatske do 1. siječnja 2020.</w:t>
      </w:r>
    </w:p>
    <w:p w:rsidR="00286CDE" w:rsidRPr="008F5B5E" w:rsidRDefault="00286CDE" w:rsidP="00286CDE">
      <w:pPr>
        <w:autoSpaceDE w:val="0"/>
        <w:autoSpaceDN w:val="0"/>
        <w:adjustRightInd w:val="0"/>
        <w:jc w:val="both"/>
      </w:pPr>
    </w:p>
    <w:p w:rsidR="00286CDE" w:rsidRPr="008F5B5E" w:rsidRDefault="00286CDE" w:rsidP="00286CDE">
      <w:pPr>
        <w:autoSpaceDE w:val="0"/>
        <w:autoSpaceDN w:val="0"/>
        <w:adjustRightInd w:val="0"/>
        <w:jc w:val="center"/>
        <w:rPr>
          <w:b/>
        </w:rPr>
      </w:pPr>
      <w:r w:rsidRPr="008F5B5E">
        <w:rPr>
          <w:b/>
        </w:rPr>
        <w:t>Članak 13.</w:t>
      </w:r>
    </w:p>
    <w:p w:rsidR="00286CDE" w:rsidRPr="008F5B5E" w:rsidRDefault="00286CDE" w:rsidP="00286CDE">
      <w:pPr>
        <w:pStyle w:val="StandardWeb"/>
        <w:spacing w:before="0" w:beforeAutospacing="0" w:after="0" w:afterAutospacing="0"/>
        <w:jc w:val="center"/>
        <w:rPr>
          <w:iCs/>
        </w:rPr>
      </w:pPr>
    </w:p>
    <w:p w:rsidR="00286CDE" w:rsidRPr="008F5B5E" w:rsidRDefault="00286CDE" w:rsidP="00286CDE">
      <w:pPr>
        <w:rPr>
          <w:b/>
          <w:iCs/>
        </w:rPr>
      </w:pPr>
      <w:r w:rsidRPr="008F5B5E">
        <w:rPr>
          <w:iCs/>
        </w:rPr>
        <w:t>Ovaj Zakon objavit će se u „Narodnim novinama“, a stupa na snagu 15. prosinca 2014.</w:t>
      </w:r>
    </w:p>
    <w:p w:rsidR="00286CDE" w:rsidRPr="008F5B5E" w:rsidRDefault="00286CDE" w:rsidP="00286CDE">
      <w:pPr>
        <w:pStyle w:val="StandardWeb"/>
        <w:spacing w:before="0" w:beforeAutospacing="0" w:after="0" w:afterAutospacing="0"/>
        <w:jc w:val="both"/>
        <w:rPr>
          <w:b/>
          <w:iCs/>
        </w:rPr>
      </w:pPr>
    </w:p>
    <w:p w:rsidR="00286CDE" w:rsidRPr="008F5B5E" w:rsidRDefault="00286CDE" w:rsidP="00286CDE">
      <w:pPr>
        <w:pStyle w:val="StandardWeb"/>
        <w:spacing w:before="0" w:beforeAutospacing="0" w:after="0" w:afterAutospacing="0"/>
        <w:jc w:val="both"/>
        <w:rPr>
          <w:b/>
          <w:iCs/>
        </w:rPr>
      </w:pPr>
    </w:p>
    <w:p w:rsidR="00286CDE" w:rsidRPr="008F5B5E" w:rsidRDefault="00286CDE" w:rsidP="00286CDE">
      <w:pPr>
        <w:pStyle w:val="StandardWeb"/>
        <w:spacing w:before="0" w:beforeAutospacing="0" w:after="0" w:afterAutospacing="0"/>
        <w:jc w:val="both"/>
        <w:rPr>
          <w:b/>
          <w:iCs/>
        </w:rPr>
      </w:pPr>
    </w:p>
    <w:p w:rsidR="00EE5000" w:rsidRDefault="00EE5000"/>
    <w:sectPr w:rsidR="00EE5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DE"/>
    <w:rsid w:val="00196267"/>
    <w:rsid w:val="00286CDE"/>
    <w:rsid w:val="00EE50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D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rsid w:val="00286C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D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rsid w:val="00286C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Kordej</dc:creator>
  <cp:lastModifiedBy>Marija Grbin</cp:lastModifiedBy>
  <cp:revision>2</cp:revision>
  <dcterms:created xsi:type="dcterms:W3CDTF">2014-09-12T10:52:00Z</dcterms:created>
  <dcterms:modified xsi:type="dcterms:W3CDTF">2014-09-12T10:52:00Z</dcterms:modified>
</cp:coreProperties>
</file>